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301D" w14:textId="69EEF275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773F987B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5DC99F9E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1AFD50D5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0312CC75" w14:textId="3F29FBDF"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</w:t>
      </w:r>
      <w:r w:rsidR="00B7561A">
        <w:rPr>
          <w:rFonts w:asciiTheme="minorHAnsi" w:hAnsiTheme="minorHAnsi" w:cstheme="minorHAnsi"/>
          <w:b/>
          <w:color w:val="FF0000"/>
        </w:rPr>
        <w:t>1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 w:rsidR="00C625CE">
        <w:rPr>
          <w:rFonts w:asciiTheme="minorHAnsi" w:hAnsiTheme="minorHAnsi" w:cstheme="minorHAnsi"/>
          <w:b/>
          <w:color w:val="FF0000"/>
        </w:rPr>
        <w:t>2</w:t>
      </w:r>
    </w:p>
    <w:p w14:paraId="13B9DF37" w14:textId="330C557D" w:rsidR="00C625CE" w:rsidRPr="00136CA8" w:rsidRDefault="00C625CE" w:rsidP="00C625CE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Οριστικά </w:t>
      </w: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>
        <w:rPr>
          <w:rFonts w:asciiTheme="minorHAnsi" w:hAnsiTheme="minorHAnsi" w:cstheme="minorHAnsi"/>
          <w:b/>
          <w:u w:val="single"/>
        </w:rPr>
        <w:t xml:space="preserve">της από 01/11/2021 πρόσκλησης 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5CB4F115" w14:textId="77777777" w:rsidR="00C625CE" w:rsidRPr="00BB0D24" w:rsidRDefault="00C625CE" w:rsidP="00C625CE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</w:t>
      </w:r>
      <w:r w:rsidRPr="00BB0D24">
        <w:rPr>
          <w:rFonts w:asciiTheme="minorHAnsi" w:hAnsiTheme="minorHAnsi" w:cstheme="minorHAnsi"/>
        </w:rPr>
        <w:t xml:space="preserve">αίτηση </w:t>
      </w:r>
      <w:r w:rsidRPr="002E2777">
        <w:rPr>
          <w:rFonts w:asciiTheme="minorHAnsi" w:hAnsiTheme="minorHAnsi" w:cstheme="minorHAnsi"/>
          <w:b/>
        </w:rPr>
        <w:t>δύο</w:t>
      </w:r>
      <w:r w:rsidRPr="00BB0D24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2</w:t>
      </w:r>
      <w:r w:rsidRPr="00BB0D24">
        <w:rPr>
          <w:rFonts w:asciiTheme="minorHAnsi" w:hAnsiTheme="minorHAnsi" w:cstheme="minorHAnsi"/>
          <w:b/>
        </w:rPr>
        <w:t>)</w:t>
      </w:r>
      <w:r w:rsidRPr="00BB0D24">
        <w:rPr>
          <w:rFonts w:asciiTheme="minorHAnsi" w:hAnsiTheme="minorHAnsi" w:cstheme="minorHAnsi"/>
        </w:rPr>
        <w:t xml:space="preserve"> φοιτητές, εκ των οποίων και οι </w:t>
      </w:r>
      <w:r>
        <w:rPr>
          <w:rFonts w:asciiTheme="minorHAnsi" w:hAnsiTheme="minorHAnsi" w:cstheme="minorHAnsi"/>
        </w:rPr>
        <w:t>2</w:t>
      </w:r>
      <w:r w:rsidRPr="00BB0D24">
        <w:rPr>
          <w:rFonts w:asciiTheme="minorHAnsi" w:hAnsiTheme="minorHAnsi" w:cstheme="minorHAnsi"/>
        </w:rPr>
        <w:t xml:space="preserve"> ήταν εμπρόθεσμες. </w:t>
      </w:r>
    </w:p>
    <w:p w14:paraId="024D40A9" w14:textId="35C74ACE" w:rsidR="00C625CE" w:rsidRPr="00BB0D24" w:rsidRDefault="00C625CE" w:rsidP="00C625CE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αίτηση του φοιτητή με </w:t>
      </w:r>
      <w:r w:rsidRPr="006B356F">
        <w:rPr>
          <w:rFonts w:asciiTheme="minorHAnsi" w:hAnsiTheme="minorHAnsi" w:cstheme="minorHAnsi"/>
          <w:b/>
        </w:rPr>
        <w:t>ΑΜ: 12352</w:t>
      </w:r>
      <w:r>
        <w:rPr>
          <w:rFonts w:asciiTheme="minorHAnsi" w:hAnsiTheme="minorHAnsi" w:cstheme="minorHAnsi"/>
        </w:rPr>
        <w:t xml:space="preserve"> και </w:t>
      </w:r>
      <w:proofErr w:type="spellStart"/>
      <w:r w:rsidRPr="006B356F">
        <w:rPr>
          <w:rFonts w:asciiTheme="minorHAnsi" w:hAnsiTheme="minorHAnsi" w:cstheme="minorHAnsi"/>
          <w:b/>
        </w:rPr>
        <w:t>αρ</w:t>
      </w:r>
      <w:proofErr w:type="spellEnd"/>
      <w:r w:rsidRPr="006B356F">
        <w:rPr>
          <w:rFonts w:asciiTheme="minorHAnsi" w:hAnsiTheme="minorHAnsi" w:cstheme="minorHAnsi"/>
          <w:b/>
        </w:rPr>
        <w:t xml:space="preserve">. </w:t>
      </w:r>
      <w:proofErr w:type="spellStart"/>
      <w:r w:rsidRPr="006B356F">
        <w:rPr>
          <w:rFonts w:asciiTheme="minorHAnsi" w:hAnsiTheme="minorHAnsi" w:cstheme="minorHAnsi"/>
          <w:b/>
        </w:rPr>
        <w:t>πρωτ</w:t>
      </w:r>
      <w:proofErr w:type="spellEnd"/>
      <w:r w:rsidRPr="006B356F">
        <w:rPr>
          <w:rFonts w:asciiTheme="minorHAnsi" w:hAnsiTheme="minorHAnsi" w:cstheme="minorHAnsi"/>
          <w:b/>
        </w:rPr>
        <w:t>: 28829/15-11-2021</w:t>
      </w:r>
      <w:r>
        <w:rPr>
          <w:rFonts w:asciiTheme="minorHAnsi" w:hAnsiTheme="minorHAnsi" w:cstheme="minorHAnsi"/>
        </w:rPr>
        <w:t xml:space="preserve"> απορρίφθηκε γιατί αφορούσε αίτηση για πρακτική άσκηση σε </w:t>
      </w:r>
      <w:r w:rsidRPr="004667EA">
        <w:rPr>
          <w:rFonts w:asciiTheme="minorHAnsi" w:hAnsiTheme="minorHAnsi" w:cstheme="minorHAnsi"/>
          <w:color w:val="000000"/>
          <w:sz w:val="18"/>
          <w:szCs w:val="18"/>
        </w:rPr>
        <w:t>Δ</w:t>
      </w:r>
      <w:r w:rsidRPr="004667EA">
        <w:rPr>
          <w:rFonts w:asciiTheme="minorHAnsi" w:hAnsiTheme="minorHAnsi" w:cstheme="minorHAnsi"/>
        </w:rPr>
        <w:t>ημόσιο</w:t>
      </w:r>
      <w:r>
        <w:rPr>
          <w:rFonts w:asciiTheme="minorHAnsi" w:hAnsiTheme="minorHAnsi" w:cstheme="minorHAnsi"/>
        </w:rPr>
        <w:t xml:space="preserve"> φορέα απασχόλησης, ενώ η Ανακοίνωση ανέφερε σαφώς :</w:t>
      </w:r>
      <w:r w:rsidRPr="004667E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«</w:t>
      </w:r>
      <w:r w:rsidRPr="00D51F07">
        <w:rPr>
          <w:rFonts w:asciiTheme="minorHAnsi" w:hAnsiTheme="minorHAnsi" w:cstheme="minorHAnsi"/>
          <w:color w:val="000000"/>
        </w:rPr>
        <w:t>Οι διαθέσιμ</w:t>
      </w:r>
      <w:r>
        <w:rPr>
          <w:rFonts w:asciiTheme="minorHAnsi" w:hAnsiTheme="minorHAnsi" w:cstheme="minorHAnsi"/>
          <w:color w:val="000000"/>
        </w:rPr>
        <w:t>ε</w:t>
      </w:r>
      <w:r w:rsidRPr="00D51F07">
        <w:rPr>
          <w:rFonts w:asciiTheme="minorHAnsi" w:hAnsiTheme="minorHAnsi" w:cstheme="minorHAnsi"/>
          <w:color w:val="000000"/>
        </w:rPr>
        <w:t xml:space="preserve">ς θέσεις πραγματοποίησης Πρακτικής Άσκησης είναι </w:t>
      </w:r>
      <w:r w:rsidRPr="00B6408C">
        <w:rPr>
          <w:rFonts w:asciiTheme="minorHAnsi" w:hAnsiTheme="minorHAnsi" w:cstheme="minorHAnsi"/>
          <w:b/>
          <w:color w:val="000000"/>
        </w:rPr>
        <w:t>εικοσιπέντε (25)</w:t>
      </w:r>
      <w:r w:rsidRPr="00D51F07">
        <w:rPr>
          <w:rFonts w:asciiTheme="minorHAnsi" w:hAnsiTheme="minorHAnsi" w:cstheme="minorHAnsi"/>
          <w:b/>
          <w:color w:val="000000"/>
        </w:rPr>
        <w:t xml:space="preserve"> </w:t>
      </w:r>
      <w:r w:rsidRPr="00D51F07">
        <w:rPr>
          <w:rFonts w:asciiTheme="minorHAnsi" w:hAnsiTheme="minorHAnsi" w:cstheme="minorHAnsi"/>
          <w:color w:val="000000"/>
        </w:rPr>
        <w:t xml:space="preserve">φοιτητών/τριών στην Ελλάδα, στον </w:t>
      </w:r>
      <w:r w:rsidRPr="006B356F">
        <w:rPr>
          <w:rFonts w:asciiTheme="minorHAnsi" w:hAnsiTheme="minorHAnsi" w:cstheme="minorHAnsi"/>
          <w:b/>
          <w:color w:val="000000"/>
        </w:rPr>
        <w:t>ιδιωτικό τομέα</w:t>
      </w:r>
      <w:r>
        <w:rPr>
          <w:rFonts w:asciiTheme="minorHAnsi" w:hAnsiTheme="minorHAnsi" w:cstheme="minorHAnsi"/>
          <w:color w:val="000000"/>
        </w:rPr>
        <w:t>..»</w:t>
      </w:r>
    </w:p>
    <w:p w14:paraId="68B650C2" w14:textId="7BB8500A" w:rsidR="00C625CE" w:rsidRDefault="00C625CE" w:rsidP="00C625CE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Με δεδομένο ότι </w:t>
      </w:r>
      <w:r w:rsidRPr="00BB0D24">
        <w:rPr>
          <w:rFonts w:asciiTheme="minorHAnsi" w:hAnsiTheme="minorHAnsi" w:cstheme="minorHAnsi"/>
          <w:lang w:val="en-US"/>
        </w:rPr>
        <w:t>o</w:t>
      </w:r>
      <w:r w:rsidRPr="00BB0D24">
        <w:rPr>
          <w:rFonts w:asciiTheme="minorHAnsi" w:hAnsiTheme="minorHAnsi" w:cstheme="minorHAnsi"/>
        </w:rPr>
        <w:t xml:space="preserve"> αριθμός των θέσεων της ΠΑ για την περίοδο αυτή ανέρχεται στις δεκαπέντε  (</w:t>
      </w:r>
      <w:r>
        <w:rPr>
          <w:rFonts w:asciiTheme="minorHAnsi" w:hAnsiTheme="minorHAnsi" w:cstheme="minorHAnsi"/>
          <w:b/>
        </w:rPr>
        <w:t>25</w:t>
      </w:r>
      <w:r w:rsidRPr="00BB0D24">
        <w:rPr>
          <w:rFonts w:asciiTheme="minorHAnsi" w:hAnsiTheme="minorHAnsi" w:cstheme="minorHAnsi"/>
        </w:rPr>
        <w:t>),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θέσεων,</w:t>
      </w:r>
      <w:r>
        <w:rPr>
          <w:rFonts w:asciiTheme="minorHAnsi" w:hAnsiTheme="minorHAnsi" w:cstheme="minorHAnsi"/>
        </w:rPr>
        <w:t xml:space="preserve"> αλλά ακολούθησε η καταγραφή του</w:t>
      </w:r>
      <w:r w:rsidRPr="00BB0D24">
        <w:rPr>
          <w:rFonts w:asciiTheme="minorHAnsi" w:hAnsiTheme="minorHAnsi" w:cstheme="minorHAnsi"/>
        </w:rPr>
        <w:t xml:space="preserve"> στη λίστα του παρακάτω πίνακα.</w:t>
      </w:r>
      <w:r w:rsidRPr="002D51F0">
        <w:rPr>
          <w:rFonts w:asciiTheme="minorHAnsi" w:hAnsiTheme="minorHAnsi" w:cstheme="minorHAnsi"/>
        </w:rPr>
        <w:t xml:space="preserve"> </w:t>
      </w:r>
    </w:p>
    <w:p w14:paraId="012A1450" w14:textId="77777777" w:rsidR="00C625CE" w:rsidRDefault="00C625CE" w:rsidP="00C625CE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>
        <w:rPr>
          <w:rFonts w:ascii="Calibri" w:hAnsi="Calibri" w:cs="Calibri"/>
          <w:b/>
        </w:rPr>
        <w:t>δεν υπεβλήθη ουδεμία ένσταση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οπότε ο παρακάτω πίνακας  είναι και ο οριστικός</w:t>
      </w:r>
      <w:r>
        <w:rPr>
          <w:rFonts w:ascii="Calibri" w:hAnsi="Calibri" w:cs="Calibri"/>
        </w:rPr>
        <w:t xml:space="preserve">. </w:t>
      </w:r>
    </w:p>
    <w:p w14:paraId="465A004D" w14:textId="77777777" w:rsidR="00C625CE" w:rsidRDefault="00C625CE" w:rsidP="00C625CE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68E395E7" w14:textId="77777777" w:rsidR="00C625CE" w:rsidRPr="002D51F0" w:rsidRDefault="00C625CE" w:rsidP="00C625CE">
      <w:pPr>
        <w:spacing w:before="120"/>
        <w:jc w:val="both"/>
        <w:rPr>
          <w:rFonts w:asciiTheme="minorHAnsi" w:hAnsiTheme="minorHAnsi" w:cstheme="minorHAnsi"/>
        </w:rPr>
      </w:pPr>
    </w:p>
    <w:p w14:paraId="45A6792E" w14:textId="77777777" w:rsidR="00C625CE" w:rsidRDefault="00C625CE" w:rsidP="00C625CE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36F48589" w14:textId="5804A7CE" w:rsidR="00C625CE" w:rsidRPr="002D51F0" w:rsidRDefault="00C625CE" w:rsidP="00C625CE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14:paraId="5DB3A904" w14:textId="77777777" w:rsidR="00C625CE" w:rsidRPr="002D51F0" w:rsidRDefault="00C625CE" w:rsidP="00C625CE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203"/>
      </w:tblGrid>
      <w:tr w:rsidR="00C625CE" w:rsidRPr="002D51F0" w14:paraId="6EA57EB1" w14:textId="77777777" w:rsidTr="00380EA7">
        <w:trPr>
          <w:jc w:val="center"/>
        </w:trPr>
        <w:tc>
          <w:tcPr>
            <w:tcW w:w="534" w:type="dxa"/>
          </w:tcPr>
          <w:p w14:paraId="5067ECE6" w14:textId="77777777" w:rsidR="00C625CE" w:rsidRPr="005009CA" w:rsidRDefault="00C625CE" w:rsidP="00380EA7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14:paraId="3DF8035B" w14:textId="77777777" w:rsidR="00C625CE" w:rsidRPr="00E36788" w:rsidRDefault="00C625CE" w:rsidP="00380EA7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C625CE" w:rsidRPr="00230BDF" w14:paraId="642D0594" w14:textId="77777777" w:rsidTr="00380EA7">
        <w:trPr>
          <w:jc w:val="center"/>
        </w:trPr>
        <w:tc>
          <w:tcPr>
            <w:tcW w:w="534" w:type="dxa"/>
            <w:vAlign w:val="center"/>
          </w:tcPr>
          <w:p w14:paraId="5DFA34D3" w14:textId="77777777" w:rsidR="00C625CE" w:rsidRPr="00230BDF" w:rsidRDefault="00C625CE" w:rsidP="00380EA7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</w:tcPr>
          <w:p w14:paraId="62C96B7A" w14:textId="77777777" w:rsidR="00C625CE" w:rsidRPr="00E36788" w:rsidRDefault="00C625CE" w:rsidP="00380EA7">
            <w:pPr>
              <w:pStyle w:val="aa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347</w:t>
            </w:r>
          </w:p>
        </w:tc>
      </w:tr>
    </w:tbl>
    <w:p w14:paraId="10406773" w14:textId="77777777" w:rsidR="00585932" w:rsidRDefault="00585932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598931F9" w14:textId="77777777" w:rsidR="00294B1D" w:rsidRDefault="00294B1D" w:rsidP="00047732">
      <w:pPr>
        <w:rPr>
          <w:rFonts w:asciiTheme="minorHAnsi" w:hAnsiTheme="minorHAnsi" w:cstheme="minorHAnsi"/>
          <w:i/>
        </w:rPr>
      </w:pPr>
    </w:p>
    <w:p w14:paraId="2B9BC619" w14:textId="303E1A71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2392FDCA" w14:textId="77777777" w:rsidR="003C7D07" w:rsidRPr="002D51F0" w:rsidRDefault="003C7D07" w:rsidP="00047732">
      <w:pPr>
        <w:rPr>
          <w:rFonts w:asciiTheme="minorHAnsi" w:hAnsiTheme="minorHAnsi" w:cstheme="minorHAnsi"/>
          <w:i/>
        </w:rPr>
      </w:pPr>
    </w:p>
    <w:p w14:paraId="120B70E5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Κοσμάς Λ. </w:t>
      </w:r>
      <w:proofErr w:type="spellStart"/>
      <w:r w:rsidRPr="002D51F0">
        <w:rPr>
          <w:rFonts w:asciiTheme="minorHAnsi" w:hAnsiTheme="minorHAnsi" w:cstheme="minorHAnsi"/>
          <w:i/>
        </w:rPr>
        <w:t>Βιδάλης</w:t>
      </w:r>
      <w:proofErr w:type="spellEnd"/>
    </w:p>
    <w:p w14:paraId="5BF6C36D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80F1" w14:textId="77777777" w:rsidR="00CC248E" w:rsidRDefault="00CC248E">
      <w:r>
        <w:separator/>
      </w:r>
    </w:p>
  </w:endnote>
  <w:endnote w:type="continuationSeparator" w:id="0">
    <w:p w14:paraId="0449C5D4" w14:textId="77777777" w:rsidR="00CC248E" w:rsidRDefault="00C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32FF" w14:textId="77777777" w:rsidR="007E3ED3" w:rsidRDefault="00161FA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751C0E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990F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3C9293EF" wp14:editId="5E421F73">
          <wp:extent cx="5849620" cy="713793"/>
          <wp:effectExtent l="1905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14D2A" w14:textId="77777777" w:rsidR="00CC248E" w:rsidRDefault="00CC248E">
      <w:r>
        <w:separator/>
      </w:r>
    </w:p>
  </w:footnote>
  <w:footnote w:type="continuationSeparator" w:id="0">
    <w:p w14:paraId="20CD06CB" w14:textId="77777777" w:rsidR="00CC248E" w:rsidRDefault="00CC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8665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305ABBD7" wp14:editId="23E4F735">
          <wp:extent cx="2295525" cy="762000"/>
          <wp:effectExtent l="19050" t="0" r="9525" b="0"/>
          <wp:docPr id="5" name="Εικόνα 5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21EC6667" wp14:editId="05212F19">
          <wp:extent cx="1470660" cy="1402080"/>
          <wp:effectExtent l="0" t="0" r="0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809C3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4468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85932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561A"/>
    <w:rsid w:val="00B76087"/>
    <w:rsid w:val="00B8376F"/>
    <w:rsid w:val="00B97893"/>
    <w:rsid w:val="00BA6CBE"/>
    <w:rsid w:val="00BC2666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625CE"/>
    <w:rsid w:val="00C82944"/>
    <w:rsid w:val="00C863C6"/>
    <w:rsid w:val="00C9424F"/>
    <w:rsid w:val="00C9508A"/>
    <w:rsid w:val="00CB7C23"/>
    <w:rsid w:val="00CC0B1C"/>
    <w:rsid w:val="00CC20F7"/>
    <w:rsid w:val="00CC248E"/>
    <w:rsid w:val="00CD2051"/>
    <w:rsid w:val="00CF0D1B"/>
    <w:rsid w:val="00CF21E3"/>
    <w:rsid w:val="00D013E2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247C8"/>
    <w:rsid w:val="00E309A6"/>
    <w:rsid w:val="00E54D21"/>
    <w:rsid w:val="00E75B24"/>
    <w:rsid w:val="00E83EF5"/>
    <w:rsid w:val="00E92DA0"/>
    <w:rsid w:val="00E97F6E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1093B"/>
  <w15:docId w15:val="{B22B156B-F001-49FF-B06F-942CB48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  <w:style w:type="character" w:customStyle="1" w:styleId="markedcontent">
    <w:name w:val="markedcontent"/>
    <w:basedOn w:val="a0"/>
    <w:rsid w:val="00C6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8F4B-8588-4784-ABDF-CC717665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1957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2021-11-26T12:18:00Z</dcterms:created>
  <dcterms:modified xsi:type="dcterms:W3CDTF">2021-11-26T12:18:00Z</dcterms:modified>
</cp:coreProperties>
</file>